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firstLine="72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تحليل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أداء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مبيعات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شركة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قيود</w:t>
      </w:r>
      <w:r w:rsidDel="00000000" w:rsidR="00000000" w:rsidRPr="00000000">
        <w:rPr>
          <w:sz w:val="40"/>
          <w:szCs w:val="40"/>
          <w:rtl w:val="1"/>
        </w:rPr>
        <w:t xml:space="preserve"> – </w:t>
      </w:r>
      <w:r w:rsidDel="00000000" w:rsidR="00000000" w:rsidRPr="00000000">
        <w:rPr>
          <w:sz w:val="40"/>
          <w:szCs w:val="40"/>
          <w:rtl w:val="1"/>
        </w:rPr>
        <w:t xml:space="preserve">مايو</w:t>
      </w:r>
      <w:r w:rsidDel="00000000" w:rsidR="00000000" w:rsidRPr="00000000">
        <w:rPr>
          <w:sz w:val="40"/>
          <w:szCs w:val="40"/>
          <w:rtl w:val="1"/>
        </w:rPr>
        <w:t xml:space="preserve"> 2024</w:t>
      </w:r>
    </w:p>
    <w:p w:rsidR="00000000" w:rsidDel="00000000" w:rsidP="00000000" w:rsidRDefault="00000000" w:rsidRPr="00000000" w14:paraId="00000002">
      <w:pPr>
        <w:bidi w:val="1"/>
        <w:ind w:firstLine="720"/>
        <w:jc w:val="both"/>
        <w:rPr/>
      </w:pP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اسم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1"/>
        </w:rPr>
        <w:t xml:space="preserve">الوظيفة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المسمى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الوظيفي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firstLine="720"/>
        <w:jc w:val="both"/>
        <w:rPr/>
      </w:pPr>
      <w:r w:rsidDel="00000000" w:rsidR="00000000" w:rsidRPr="00000000">
        <w:rPr>
          <w:b w:val="1"/>
          <w:color w:val="373a40"/>
          <w:rtl w:val="1"/>
        </w:rPr>
        <w:t xml:space="preserve">تاريخ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اليوم</w:t>
      </w:r>
      <w:r w:rsidDel="00000000" w:rsidR="00000000" w:rsidRPr="00000000">
        <w:rPr>
          <w:b w:val="1"/>
          <w:color w:val="373a40"/>
          <w:rtl w:val="1"/>
        </w:rPr>
        <w:t xml:space="preserve">: ......./....../.......     </w:t>
      </w:r>
      <w:r w:rsidDel="00000000" w:rsidR="00000000" w:rsidRPr="00000000">
        <w:rPr>
          <w:rtl w:val="0"/>
        </w:rPr>
        <w:t xml:space="preserve">       </w:t>
        <w:tab/>
      </w:r>
      <w:r w:rsidDel="00000000" w:rsidR="00000000" w:rsidRPr="00000000">
        <w:rPr>
          <w:b w:val="1"/>
          <w:color w:val="373a40"/>
          <w:rtl w:val="1"/>
        </w:rPr>
        <w:t xml:space="preserve">عناية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الجهة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المنوط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بها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التقرير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10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rtl w:val="1"/>
              </w:rPr>
              <w:t xml:space="preserve">يهدف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مبيعات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المحاسبية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مايو</w:t>
            </w:r>
            <w:r w:rsidDel="00000000" w:rsidR="00000000" w:rsidRPr="00000000">
              <w:rPr>
                <w:rtl w:val="1"/>
              </w:rPr>
              <w:t xml:space="preserve"> 2024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السعودي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بناء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مبيعات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التطبيق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معدلات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الاشتراك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واتجاهات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العملاء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4"/>
              <w:keepNext w:val="0"/>
              <w:keepLines w:val="0"/>
              <w:bidi w:val="1"/>
              <w:spacing w:after="40" w:before="240" w:lineRule="auto"/>
              <w:ind w:firstLine="0"/>
              <w:rPr>
                <w:i w:val="0"/>
              </w:rPr>
            </w:pPr>
            <w:bookmarkStart w:colFirst="0" w:colLast="0" w:name="_vya7jhu0s5t" w:id="0"/>
            <w:bookmarkEnd w:id="0"/>
            <w:r w:rsidDel="00000000" w:rsidR="00000000" w:rsidRPr="00000000">
              <w:rPr>
                <w:i w:val="0"/>
                <w:rtl w:val="1"/>
              </w:rPr>
              <w:t xml:space="preserve">ملخص</w:t>
            </w:r>
            <w:r w:rsidDel="00000000" w:rsidR="00000000" w:rsidRPr="00000000">
              <w:rPr>
                <w:i w:val="0"/>
                <w:rtl w:val="1"/>
              </w:rPr>
              <w:t xml:space="preserve"> </w:t>
            </w:r>
            <w:r w:rsidDel="00000000" w:rsidR="00000000" w:rsidRPr="00000000">
              <w:rPr>
                <w:i w:val="0"/>
                <w:rtl w:val="1"/>
              </w:rPr>
              <w:t xml:space="preserve">الأداء</w:t>
            </w:r>
            <w:r w:rsidDel="00000000" w:rsidR="00000000" w:rsidRPr="00000000">
              <w:rPr>
                <w:i w:val="0"/>
                <w:rtl w:val="1"/>
              </w:rPr>
              <w:t xml:space="preserve"> </w:t>
            </w:r>
            <w:r w:rsidDel="00000000" w:rsidR="00000000" w:rsidRPr="00000000">
              <w:rPr>
                <w:i w:val="0"/>
                <w:rtl w:val="1"/>
              </w:rPr>
              <w:t xml:space="preserve">العام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ريال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سعودي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انخفاض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</w:t>
            </w:r>
            <w:r w:rsidDel="00000000" w:rsidR="00000000" w:rsidRPr="00000000">
              <w:rPr>
                <w:rtl w:val="1"/>
              </w:rPr>
              <w:t xml:space="preserve">).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الاشتراكات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الجديدة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اشتراك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نمو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أبريل</w:t>
            </w:r>
            <w:r w:rsidDel="00000000" w:rsidR="00000000" w:rsidRPr="00000000">
              <w:rPr>
                <w:rtl w:val="1"/>
              </w:rPr>
              <w:t xml:space="preserve"> 2024).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معدل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الاحتفاظ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بالعملاء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tl w:val="1"/>
              </w:rPr>
              <w:t xml:space="preserve">% (</w:t>
            </w:r>
            <w:r w:rsidDel="00000000" w:rsidR="00000000" w:rsidRPr="00000000">
              <w:rPr>
                <w:rtl w:val="1"/>
              </w:rPr>
              <w:t xml:space="preserve">تحسن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انخفاض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بمقدار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</w:t>
            </w:r>
            <w:r w:rsidDel="00000000" w:rsidR="00000000" w:rsidRPr="00000000">
              <w:rPr>
                <w:rtl w:val="1"/>
              </w:rPr>
              <w:t xml:space="preserve">).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أفضل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القطاعات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rtl w:val="1"/>
              </w:rPr>
              <w:t xml:space="preserve">ً: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التجزئة</w:t>
            </w:r>
            <w:r w:rsidDel="00000000" w:rsidR="00000000" w:rsidRPr="00000000">
              <w:rPr>
                <w:rtl w:val="1"/>
              </w:rPr>
              <w:t xml:space="preserve">،) </w:t>
            </w:r>
            <w:r w:rsidDel="00000000" w:rsidR="00000000" w:rsidRPr="00000000">
              <w:rPr>
                <w:rtl w:val="1"/>
              </w:rPr>
              <w:t xml:space="preserve">محل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المشتركين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الجدد</w:t>
            </w:r>
            <w:r w:rsidDel="00000000" w:rsidR="00000000" w:rsidRPr="00000000">
              <w:rPr>
                <w:rtl w:val="1"/>
              </w:rPr>
              <w:t xml:space="preserve">: (</w:t>
            </w:r>
            <w:r w:rsidDel="00000000" w:rsidR="00000000" w:rsidRPr="00000000">
              <w:rPr>
                <w:rtl w:val="1"/>
              </w:rPr>
              <w:t xml:space="preserve">الرياض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جدة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3. </w:t>
            </w:r>
            <w:r w:rsidDel="00000000" w:rsidR="00000000" w:rsidRPr="00000000">
              <w:rPr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المبيعات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الفئات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الاشتراكات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بلغت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اشتراك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الإيرادات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الاشتراكات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استحوذت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الإيرادات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بلغ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%.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الباقات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المتميزة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شهدت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%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حيث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اهتمام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بميزات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الفواتير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والتكامل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).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اتجاهات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إيجابية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زيادة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الاشتراكات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الصغيرة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نتيجة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الحملات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التسويقية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الرقمية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تفاعل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إيجابي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العروض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الترويجية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بشهر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مايو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أدى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ارتفاع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عمليات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التحويل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الإصدار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التجريبي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الاشتراك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المدفوع</w:t>
            </w:r>
            <w:r w:rsidDel="00000000" w:rsidR="00000000" w:rsidRPr="00000000">
              <w:rPr>
                <w:b w:val="1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تحسينات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واجهة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المستخدم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ساهمت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تعزيز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تجربة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العملاء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C">
      <w:pPr>
        <w:bidi w:val="1"/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الملاحظات</w:t>
      </w:r>
      <w:r w:rsidDel="00000000" w:rsidR="00000000" w:rsidRPr="00000000">
        <w:rPr>
          <w:b w:val="1"/>
          <w:rtl w:val="1"/>
        </w:rPr>
        <w:t xml:space="preserve">: </w:t>
        <w:br w:type="textWrapping"/>
      </w:r>
      <w:r w:rsidDel="00000000" w:rsidR="00000000" w:rsidRPr="00000000">
        <w:rPr>
          <w:b w:val="1"/>
          <w:rtl w:val="1"/>
        </w:rPr>
        <w:t xml:space="preserve">شهدت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مبيعات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ملحوظ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مايو</w:t>
      </w:r>
      <w:r w:rsidDel="00000000" w:rsidR="00000000" w:rsidRPr="00000000">
        <w:rPr>
          <w:b w:val="1"/>
          <w:rtl w:val="1"/>
        </w:rPr>
        <w:t xml:space="preserve"> 2024، </w:t>
      </w:r>
      <w:r w:rsidDel="00000000" w:rsidR="00000000" w:rsidRPr="00000000">
        <w:rPr>
          <w:b w:val="1"/>
          <w:rtl w:val="1"/>
        </w:rPr>
        <w:t xml:space="preserve">مدعوم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الاشتراكات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وتحسينات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المنتج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تعزيز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التسويق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تجربة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المستخدم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والتوسع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الميزات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التكنولوجية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مفتاح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لمواصلة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النمو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المبيعات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المستقبلية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0" w:firstLine="0"/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</w:t>
      </w:r>
    </w:p>
    <w:p w:rsidR="00000000" w:rsidDel="00000000" w:rsidP="00000000" w:rsidRDefault="00000000" w:rsidRPr="00000000" w14:paraId="0000000E">
      <w:pPr>
        <w:ind w:firstLine="720"/>
        <w:jc w:val="left"/>
        <w:rPr/>
      </w:pPr>
      <w:r w:rsidDel="00000000" w:rsidR="00000000" w:rsidRPr="00000000">
        <w:rPr>
          <w:rtl w:val="0"/>
        </w:rPr>
        <w:t xml:space="preserve">XXXX</w:t>
      </w:r>
    </w:p>
    <w:sectPr>
      <w:headerReference r:id="rId6" w:type="default"/>
      <w:headerReference r:id="rId7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bidi w:val="1"/>
      <w:spacing w:before="960" w:lineRule="auto"/>
      <w:jc w:val="center"/>
      <w:rPr/>
    </w:pPr>
    <w:r w:rsidDel="00000000" w:rsidR="00000000" w:rsidRPr="00000000">
      <w:rPr>
        <w:b w:val="1"/>
        <w:rtl w:val="1"/>
      </w:rPr>
      <w:t xml:space="preserve">قيود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للحلول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المحاسبية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المتطورة</w:t>
    </w:r>
    <w:r w:rsidDel="00000000" w:rsidR="00000000" w:rsidRPr="00000000">
      <w:rPr>
        <w:b w:val="1"/>
        <w:rtl w:val="1"/>
      </w:rPr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before="960" w:lineRule="auto"/>
      <w:jc w:val="center"/>
      <w:rPr>
        <w:b w:val="1"/>
      </w:rPr>
    </w:pPr>
    <w:r w:rsidDel="00000000" w:rsidR="00000000" w:rsidRPr="00000000">
      <w:rPr>
        <w:b w:val="1"/>
        <w:rtl w:val="1"/>
      </w:rPr>
      <w:t xml:space="preserve">قيود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للحلول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المحاسبية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المتطورة</w:t>
    </w:r>
    <w:r w:rsidDel="00000000" w:rsidR="00000000" w:rsidRPr="00000000">
      <w:rPr>
        <w:b w:val="1"/>
        <w:rtl w:val="1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