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y1mhoaq4pi6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الموارد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البشرية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HR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والتوظيف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مسؤول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توظيف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أخصائي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موظفين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إلماما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كاملا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نظام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السعودي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متميزة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حياة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تميز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تميزت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التوظيف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والاحتفاظ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بالكوادر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البشرية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العمالية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